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845C" w14:textId="77777777" w:rsidR="006F43DE" w:rsidRDefault="006F43DE">
      <w:pPr>
        <w:pStyle w:val="BodyText"/>
        <w:ind w:left="840"/>
        <w:jc w:val="right"/>
      </w:pPr>
    </w:p>
    <w:p w14:paraId="40DD845D" w14:textId="77777777" w:rsidR="006F43DE" w:rsidRDefault="006F43DE">
      <w:pPr>
        <w:pStyle w:val="BodyText"/>
        <w:ind w:left="840"/>
        <w:jc w:val="right"/>
      </w:pPr>
    </w:p>
    <w:p w14:paraId="40DD845E" w14:textId="570F2158" w:rsidR="006F43DE" w:rsidRDefault="00E3344C">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8E5F42">
        <w:rPr>
          <w:rFonts w:ascii="Calibri" w:eastAsia="Calibri" w:hAnsi="Calibri" w:cs="Calibri"/>
        </w:rPr>
        <w:t>31 December 2021</w:t>
      </w:r>
    </w:p>
    <w:p w14:paraId="40DD845F" w14:textId="77777777" w:rsidR="006F43DE" w:rsidRDefault="006F43DE">
      <w:pPr>
        <w:pStyle w:val="BodyText"/>
        <w:ind w:left="840"/>
        <w:rPr>
          <w:rFonts w:ascii="Calibri" w:eastAsia="Calibri" w:hAnsi="Calibri" w:cs="Calibri"/>
        </w:rPr>
      </w:pPr>
    </w:p>
    <w:p w14:paraId="40DD8460" w14:textId="77777777" w:rsidR="006F43DE" w:rsidRDefault="006F43DE">
      <w:pPr>
        <w:pStyle w:val="BodyText"/>
        <w:ind w:right="120"/>
        <w:rPr>
          <w:rFonts w:ascii="Calibri" w:eastAsia="Calibri" w:hAnsi="Calibri" w:cs="Calibri"/>
          <w:b/>
          <w:bCs/>
        </w:rPr>
      </w:pPr>
    </w:p>
    <w:p w14:paraId="40DD8461" w14:textId="77777777" w:rsidR="006F43DE" w:rsidRDefault="00E3344C">
      <w:pPr>
        <w:pStyle w:val="BodyText"/>
        <w:ind w:right="120"/>
        <w:rPr>
          <w:rFonts w:ascii="Calibri" w:eastAsia="Calibri" w:hAnsi="Calibri" w:cs="Calibri"/>
          <w:b/>
          <w:bCs/>
        </w:rPr>
      </w:pPr>
      <w:r>
        <w:rPr>
          <w:rFonts w:ascii="Calibri" w:eastAsia="Calibri" w:hAnsi="Calibri" w:cs="Calibri"/>
          <w:b/>
          <w:bCs/>
        </w:rPr>
        <w:t xml:space="preserve">Notice of intention to carry out work </w:t>
      </w:r>
    </w:p>
    <w:p w14:paraId="40DD8462" w14:textId="77777777" w:rsidR="006F43DE" w:rsidRDefault="006F43DE">
      <w:pPr>
        <w:pStyle w:val="BodyText"/>
        <w:ind w:right="120"/>
        <w:rPr>
          <w:rFonts w:ascii="Calibri" w:eastAsia="Calibri" w:hAnsi="Calibri" w:cs="Calibri"/>
        </w:rPr>
      </w:pPr>
    </w:p>
    <w:p w14:paraId="40DD8463" w14:textId="77777777" w:rsidR="006F43DE" w:rsidRDefault="00E3344C">
      <w:pPr>
        <w:pStyle w:val="BodyText"/>
        <w:ind w:right="120"/>
        <w:rPr>
          <w:rFonts w:ascii="Calibri" w:eastAsia="Calibri" w:hAnsi="Calibri" w:cs="Calibri"/>
        </w:rPr>
      </w:pPr>
      <w:r>
        <w:rPr>
          <w:rFonts w:ascii="Calibri" w:eastAsia="Calibri" w:hAnsi="Calibri" w:cs="Calibri"/>
        </w:rPr>
        <w:t>To all leaseholders of George Leybourne House and shareholders in Entryway Limited.</w:t>
      </w:r>
    </w:p>
    <w:p w14:paraId="40DD8464" w14:textId="77777777" w:rsidR="006F43DE" w:rsidRDefault="006F43DE">
      <w:pPr>
        <w:pStyle w:val="BodyText"/>
        <w:ind w:right="120"/>
        <w:rPr>
          <w:rFonts w:ascii="Calibri" w:eastAsia="Calibri" w:hAnsi="Calibri" w:cs="Calibri"/>
        </w:rPr>
      </w:pPr>
    </w:p>
    <w:p w14:paraId="40DD8465" w14:textId="72033478" w:rsidR="006F43DE" w:rsidRDefault="00253D36">
      <w:pPr>
        <w:pStyle w:val="BodyText"/>
        <w:ind w:right="120"/>
        <w:rPr>
          <w:rFonts w:ascii="Calibri" w:eastAsia="Calibri" w:hAnsi="Calibri" w:cs="Calibri"/>
        </w:rPr>
      </w:pPr>
      <w:r>
        <w:rPr>
          <w:rFonts w:ascii="Calibri" w:eastAsia="Calibri" w:hAnsi="Calibri" w:cs="Calibri"/>
        </w:rPr>
        <w:t>Following from the discussion at the AGM in November, i</w:t>
      </w:r>
      <w:r w:rsidR="00E3344C">
        <w:rPr>
          <w:rFonts w:ascii="Calibri" w:eastAsia="Calibri" w:hAnsi="Calibri" w:cs="Calibri"/>
        </w:rPr>
        <w:t xml:space="preserve">t is the intention of Entryway Limited to enter into an agreement to carry out works in respect of which we are required to consult leaseholders </w:t>
      </w:r>
      <w:r w:rsidR="00E3344C">
        <w:rPr>
          <w:rFonts w:ascii="Calibri" w:eastAsia="Calibri" w:hAnsi="Calibri" w:cs="Calibri"/>
          <w:i/>
          <w:iCs/>
        </w:rPr>
        <w:t>(see Note 1 overleaf)</w:t>
      </w:r>
      <w:r w:rsidR="00E3344C">
        <w:rPr>
          <w:rFonts w:ascii="Calibri" w:eastAsia="Calibri" w:hAnsi="Calibri" w:cs="Calibri"/>
        </w:rPr>
        <w:t xml:space="preserve">.  The works to be carried out under the agreement are as follows:  </w:t>
      </w:r>
    </w:p>
    <w:p w14:paraId="32609FAB" w14:textId="77777777" w:rsidR="002469BF" w:rsidRDefault="002469BF">
      <w:pPr>
        <w:pStyle w:val="BodyText"/>
        <w:ind w:right="120"/>
        <w:rPr>
          <w:rFonts w:ascii="Calibri" w:eastAsia="Calibri" w:hAnsi="Calibri" w:cs="Calibri"/>
        </w:rPr>
      </w:pPr>
    </w:p>
    <w:p w14:paraId="40DD8467" w14:textId="43FAE932" w:rsidR="00F31547" w:rsidRDefault="002469BF">
      <w:pPr>
        <w:pStyle w:val="BodyText"/>
        <w:ind w:right="120"/>
        <w:rPr>
          <w:rFonts w:ascii="Calibri" w:eastAsia="Calibri" w:hAnsi="Calibri" w:cs="Calibri"/>
        </w:rPr>
      </w:pPr>
      <w:r>
        <w:rPr>
          <w:rFonts w:ascii="Calibri" w:eastAsia="Calibri" w:hAnsi="Calibri" w:cs="Calibri"/>
        </w:rPr>
        <w:t>Replacement</w:t>
      </w:r>
      <w:r w:rsidR="0069534C">
        <w:rPr>
          <w:rFonts w:ascii="Calibri" w:eastAsia="Calibri" w:hAnsi="Calibri" w:cs="Calibri"/>
        </w:rPr>
        <w:t xml:space="preserve"> of c</w:t>
      </w:r>
      <w:r w:rsidR="00357D72">
        <w:rPr>
          <w:rFonts w:ascii="Calibri" w:eastAsia="Calibri" w:hAnsi="Calibri" w:cs="Calibri"/>
        </w:rPr>
        <w:t xml:space="preserve">eiling tiles and </w:t>
      </w:r>
      <w:r w:rsidR="0069534C">
        <w:rPr>
          <w:rFonts w:ascii="Calibri" w:eastAsia="Calibri" w:hAnsi="Calibri" w:cs="Calibri"/>
        </w:rPr>
        <w:t xml:space="preserve">existing </w:t>
      </w:r>
      <w:r w:rsidR="00357D72">
        <w:rPr>
          <w:rFonts w:ascii="Calibri" w:eastAsia="Calibri" w:hAnsi="Calibri" w:cs="Calibri"/>
        </w:rPr>
        <w:t>lighting</w:t>
      </w:r>
      <w:r w:rsidR="0069534C">
        <w:rPr>
          <w:rFonts w:ascii="Calibri" w:eastAsia="Calibri" w:hAnsi="Calibri" w:cs="Calibri"/>
        </w:rPr>
        <w:t xml:space="preserve"> in all corridors with </w:t>
      </w:r>
      <w:r w:rsidR="005B17AF">
        <w:rPr>
          <w:rFonts w:ascii="Calibri" w:eastAsia="Calibri" w:hAnsi="Calibri" w:cs="Calibri"/>
        </w:rPr>
        <w:t>LED lighting</w:t>
      </w:r>
      <w:r w:rsidR="00FA00C3">
        <w:rPr>
          <w:rFonts w:ascii="Calibri" w:eastAsia="Calibri" w:hAnsi="Calibri" w:cs="Calibri"/>
        </w:rPr>
        <w:t xml:space="preserve"> and</w:t>
      </w:r>
      <w:r w:rsidR="00381CE1">
        <w:rPr>
          <w:rFonts w:ascii="Calibri" w:eastAsia="Calibri" w:hAnsi="Calibri" w:cs="Calibri"/>
        </w:rPr>
        <w:t xml:space="preserve"> new suspended grid</w:t>
      </w:r>
      <w:r w:rsidR="002163A6">
        <w:rPr>
          <w:rFonts w:ascii="Calibri" w:eastAsia="Calibri" w:hAnsi="Calibri" w:cs="Calibri"/>
        </w:rPr>
        <w:t xml:space="preserve"> for </w:t>
      </w:r>
      <w:r w:rsidR="00253D36">
        <w:rPr>
          <w:rFonts w:ascii="Calibri" w:eastAsia="Calibri" w:hAnsi="Calibri" w:cs="Calibri"/>
        </w:rPr>
        <w:t xml:space="preserve">ceiling tiles. </w:t>
      </w:r>
    </w:p>
    <w:p w14:paraId="40DD8468" w14:textId="77777777" w:rsidR="00F31547" w:rsidRDefault="00F31547">
      <w:pPr>
        <w:pStyle w:val="BodyText"/>
        <w:ind w:right="120"/>
        <w:rPr>
          <w:rFonts w:ascii="Calibri" w:eastAsia="Calibri" w:hAnsi="Calibri" w:cs="Calibri"/>
        </w:rPr>
      </w:pPr>
    </w:p>
    <w:p w14:paraId="40DD8469" w14:textId="77777777" w:rsidR="006F43DE" w:rsidRDefault="00E3344C">
      <w:pPr>
        <w:pStyle w:val="BodyText"/>
        <w:ind w:right="120"/>
        <w:rPr>
          <w:rFonts w:ascii="Calibri" w:eastAsia="Calibri" w:hAnsi="Calibri" w:cs="Calibri"/>
        </w:rPr>
      </w:pPr>
      <w:r>
        <w:rPr>
          <w:rFonts w:ascii="Calibri" w:eastAsia="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Pr>
          <w:rFonts w:ascii="Calibri" w:eastAsia="Calibri" w:hAnsi="Calibri" w:cs="Calibri"/>
          <w:i/>
          <w:iCs/>
        </w:rPr>
        <w:t>(see Note 3 overleaf)</w:t>
      </w:r>
      <w:r>
        <w:rPr>
          <w:rFonts w:ascii="Calibri" w:eastAsia="Calibri" w:hAnsi="Calibri" w:cs="Calibri"/>
        </w:rPr>
        <w:t xml:space="preserve">. </w:t>
      </w:r>
    </w:p>
    <w:p w14:paraId="40DD846A" w14:textId="77777777" w:rsidR="006F43DE" w:rsidRDefault="006F43DE">
      <w:pPr>
        <w:pStyle w:val="BodyText"/>
        <w:ind w:right="120"/>
        <w:rPr>
          <w:rFonts w:ascii="Calibri" w:eastAsia="Calibri" w:hAnsi="Calibri" w:cs="Calibri"/>
        </w:rPr>
      </w:pPr>
    </w:p>
    <w:p w14:paraId="40DD846B" w14:textId="77777777" w:rsidR="006F43DE" w:rsidRDefault="00E3344C">
      <w:pPr>
        <w:pStyle w:val="BodyText"/>
        <w:ind w:right="120"/>
        <w:rPr>
          <w:rFonts w:ascii="Calibri" w:eastAsia="Calibri" w:hAnsi="Calibri" w:cs="Calibri"/>
        </w:rPr>
      </w:pPr>
      <w:r>
        <w:rPr>
          <w:rFonts w:ascii="Calibri" w:eastAsia="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 overleaf)</w:t>
      </w:r>
      <w:r>
        <w:rPr>
          <w:rFonts w:ascii="Calibri" w:eastAsia="Calibri" w:hAnsi="Calibri" w:cs="Calibri"/>
        </w:rPr>
        <w:t>.</w:t>
      </w:r>
    </w:p>
    <w:p w14:paraId="40DD846C" w14:textId="77777777" w:rsidR="006F43DE" w:rsidRDefault="006F43DE">
      <w:pPr>
        <w:pStyle w:val="BodyText"/>
        <w:ind w:right="120"/>
        <w:rPr>
          <w:rFonts w:ascii="Calibri" w:eastAsia="Calibri" w:hAnsi="Calibri" w:cs="Calibri"/>
        </w:rPr>
      </w:pPr>
    </w:p>
    <w:p w14:paraId="40DD846D" w14:textId="77777777" w:rsidR="006F43DE" w:rsidRDefault="006F43DE">
      <w:pPr>
        <w:pStyle w:val="BodyText"/>
        <w:ind w:right="120"/>
        <w:rPr>
          <w:rFonts w:ascii="Calibri" w:eastAsia="Calibri" w:hAnsi="Calibri" w:cs="Calibri"/>
        </w:rPr>
      </w:pPr>
    </w:p>
    <w:p w14:paraId="40DD846E" w14:textId="77777777" w:rsidR="006F43DE" w:rsidRDefault="006F43DE">
      <w:pPr>
        <w:pStyle w:val="BodyText"/>
        <w:ind w:right="120"/>
        <w:rPr>
          <w:rFonts w:ascii="Calibri" w:eastAsia="Calibri" w:hAnsi="Calibri" w:cs="Calibri"/>
        </w:rPr>
      </w:pPr>
    </w:p>
    <w:p w14:paraId="40DD846F" w14:textId="0CAFAE23" w:rsidR="006F43DE" w:rsidRDefault="00357D72">
      <w:pPr>
        <w:pStyle w:val="BodyText"/>
        <w:ind w:right="120"/>
        <w:rPr>
          <w:rFonts w:ascii="Calibri" w:eastAsia="Calibri" w:hAnsi="Calibri" w:cs="Calibri"/>
        </w:rPr>
      </w:pPr>
      <w:r>
        <w:rPr>
          <w:rFonts w:ascii="Calibri" w:eastAsia="Calibri" w:hAnsi="Calibri" w:cs="Calibri"/>
        </w:rPr>
        <w:t>George Parker-Jervis</w:t>
      </w:r>
    </w:p>
    <w:p w14:paraId="40DD8470" w14:textId="77777777" w:rsidR="006F43DE" w:rsidRDefault="00E3344C">
      <w:pPr>
        <w:pStyle w:val="BodyText"/>
        <w:ind w:right="120"/>
        <w:rPr>
          <w:rFonts w:ascii="Calibri" w:eastAsia="Calibri" w:hAnsi="Calibri" w:cs="Calibri"/>
        </w:rPr>
      </w:pPr>
      <w:r>
        <w:rPr>
          <w:rFonts w:ascii="Calibri" w:eastAsia="Calibri" w:hAnsi="Calibri" w:cs="Calibri"/>
        </w:rPr>
        <w:t>Chairman</w:t>
      </w:r>
    </w:p>
    <w:p w14:paraId="40DD8471" w14:textId="77777777" w:rsidR="006F43DE" w:rsidRDefault="00E3344C">
      <w:pPr>
        <w:pStyle w:val="BodyText"/>
        <w:ind w:right="120"/>
        <w:rPr>
          <w:rFonts w:ascii="Calibri" w:eastAsia="Calibri" w:hAnsi="Calibri" w:cs="Calibri"/>
        </w:rPr>
      </w:pPr>
      <w:r>
        <w:rPr>
          <w:rFonts w:ascii="Calibri" w:eastAsia="Calibri" w:hAnsi="Calibri" w:cs="Calibri"/>
        </w:rPr>
        <w:br/>
        <w:t>Entryway Limited</w:t>
      </w:r>
    </w:p>
    <w:p w14:paraId="40DD8472" w14:textId="77777777" w:rsidR="006F43DE" w:rsidRDefault="00E3344C">
      <w:pPr>
        <w:pStyle w:val="BodyText"/>
        <w:ind w:right="120"/>
        <w:rPr>
          <w:rFonts w:ascii="Calibri" w:eastAsia="Calibri" w:hAnsi="Calibri" w:cs="Calibri"/>
        </w:rPr>
      </w:pPr>
      <w:r>
        <w:rPr>
          <w:rFonts w:ascii="Calibri" w:eastAsia="Calibri" w:hAnsi="Calibri" w:cs="Calibri"/>
        </w:rPr>
        <w:t>George Leybourne House</w:t>
      </w:r>
    </w:p>
    <w:p w14:paraId="40DD8473" w14:textId="77777777" w:rsidR="006F43DE" w:rsidRDefault="00E3344C">
      <w:pPr>
        <w:pStyle w:val="BodyText"/>
        <w:ind w:right="120"/>
        <w:rPr>
          <w:rFonts w:ascii="Calibri" w:eastAsia="Calibri" w:hAnsi="Calibri" w:cs="Calibri"/>
        </w:rPr>
      </w:pPr>
      <w:r>
        <w:rPr>
          <w:rFonts w:ascii="Calibri" w:eastAsia="Calibri" w:hAnsi="Calibri" w:cs="Calibri"/>
        </w:rPr>
        <w:t>Wellclose Square</w:t>
      </w:r>
    </w:p>
    <w:p w14:paraId="40DD8474" w14:textId="77777777" w:rsidR="006F43DE" w:rsidRDefault="00E3344C">
      <w:pPr>
        <w:pStyle w:val="BodyText"/>
        <w:ind w:right="120"/>
        <w:rPr>
          <w:rFonts w:ascii="Calibri" w:eastAsia="Calibri" w:hAnsi="Calibri" w:cs="Calibri"/>
        </w:rPr>
      </w:pPr>
      <w:r>
        <w:rPr>
          <w:rFonts w:ascii="Calibri" w:eastAsia="Calibri" w:hAnsi="Calibri" w:cs="Calibri"/>
        </w:rPr>
        <w:t xml:space="preserve">London E1 8HW </w:t>
      </w:r>
    </w:p>
    <w:p w14:paraId="40DD8475" w14:textId="77777777" w:rsidR="006F43DE" w:rsidRDefault="00E3344C">
      <w:pPr>
        <w:pStyle w:val="BodyText"/>
        <w:ind w:right="120"/>
      </w:pPr>
      <w:r>
        <w:rPr>
          <w:rFonts w:ascii="Calibri" w:eastAsia="Calibri" w:hAnsi="Calibri" w:cs="Calibri"/>
        </w:rPr>
        <w:br w:type="page"/>
      </w:r>
    </w:p>
    <w:p w14:paraId="40DD8476" w14:textId="77777777" w:rsidR="006F43DE" w:rsidRDefault="006F43DE">
      <w:pPr>
        <w:pStyle w:val="BodyText"/>
        <w:ind w:right="120"/>
        <w:rPr>
          <w:rFonts w:ascii="Calibri" w:eastAsia="Calibri" w:hAnsi="Calibri" w:cs="Calibri"/>
        </w:rPr>
      </w:pPr>
    </w:p>
    <w:p w14:paraId="40DD8477" w14:textId="77777777" w:rsidR="006F43DE" w:rsidRDefault="00E3344C">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14:paraId="40DD8478"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14:paraId="40DD8479"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14:paraId="40DD847A" w14:textId="77777777" w:rsidR="006F43DE" w:rsidRDefault="00E3344C">
      <w:pPr>
        <w:pStyle w:val="BodyText"/>
        <w:numPr>
          <w:ilvl w:val="1"/>
          <w:numId w:val="2"/>
        </w:numPr>
        <w:ind w:right="120"/>
        <w:rPr>
          <w:rFonts w:ascii="Calibri" w:eastAsia="Calibri" w:hAnsi="Calibri" w:cs="Calibri"/>
        </w:rPr>
      </w:pPr>
      <w:r>
        <w:rPr>
          <w:rFonts w:ascii="Calibri" w:eastAsia="Calibri" w:hAnsi="Calibri" w:cs="Calibri"/>
        </w:rPr>
        <w:t xml:space="preserve">the place and hours so specified must be reasonable; and </w:t>
      </w:r>
    </w:p>
    <w:p w14:paraId="40DD847B" w14:textId="77777777" w:rsidR="006F43DE" w:rsidRDefault="00E3344C">
      <w:pPr>
        <w:pStyle w:val="BodyText"/>
        <w:numPr>
          <w:ilvl w:val="1"/>
          <w:numId w:val="2"/>
        </w:numPr>
        <w:ind w:right="120"/>
        <w:rPr>
          <w:rFonts w:ascii="Calibri" w:eastAsia="Calibri" w:hAnsi="Calibri" w:cs="Calibri"/>
        </w:rPr>
      </w:pPr>
      <w:r>
        <w:rPr>
          <w:rFonts w:ascii="Calibri" w:eastAsia="Calibri" w:hAnsi="Calibri" w:cs="Calibri"/>
        </w:rPr>
        <w:t>a description of the proposed works must be available for inspection, free of charge, at that place and during those hours.</w:t>
      </w:r>
    </w:p>
    <w:p w14:paraId="40DD847C" w14:textId="77777777" w:rsidR="006F43DE" w:rsidRDefault="00E3344C">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14:paraId="40DD847D"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recognised tenants' association. 'Recognised tenants' association' is defined by Section 29 of the 1985 Act. </w:t>
      </w:r>
    </w:p>
    <w:p w14:paraId="40DD847E" w14:textId="77777777" w:rsidR="006F43DE" w:rsidRDefault="006F43DE">
      <w:pPr>
        <w:pStyle w:val="BodyText"/>
        <w:numPr>
          <w:ilvl w:val="0"/>
          <w:numId w:val="2"/>
        </w:numPr>
        <w:ind w:right="120"/>
        <w:rPr>
          <w:rFonts w:ascii="Calibri" w:eastAsia="Calibri" w:hAnsi="Calibri" w:cs="Calibri"/>
        </w:rPr>
      </w:pPr>
    </w:p>
    <w:p w14:paraId="40DD847F"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a recognised tenants' association (whether or not a nomination is made by any leaseholder, the landlord shall try to obtain an estimate from the nominated person. </w:t>
      </w:r>
    </w:p>
    <w:p w14:paraId="40DD8480"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only one leaseholder (whether or not a nomination is made by a recognised tenants' association), the landlord shall try to obtain an estimate from the nominated person. </w:t>
      </w:r>
    </w:p>
    <w:p w14:paraId="40DD8481"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more than one leaseholder (whether or not a nomination is made by a recognised tenants' association), the landlord shall try to obtain an estimate: </w:t>
      </w:r>
    </w:p>
    <w:p w14:paraId="40DD8482"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the person who received the most nominations; or </w:t>
      </w:r>
    </w:p>
    <w:p w14:paraId="40DD8483"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if there is no such person, but two (or more) persons received the same number of nominations, being a number in excess of the nominations received by any other person, from one of those two (or more) persons; or </w:t>
      </w:r>
    </w:p>
    <w:p w14:paraId="40DD8484"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in any other case, from any nominated person.</w:t>
      </w:r>
    </w:p>
    <w:p w14:paraId="40DD8485"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recognised tenants' association, the landlord shall try to obtain an estimate </w:t>
      </w:r>
    </w:p>
    <w:p w14:paraId="40DD8486"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at least one person nominated by a leaseholder; and </w:t>
      </w:r>
    </w:p>
    <w:p w14:paraId="40DD8487"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from at least one person nominated by the association, other than a person from whom an estimate is sought as mentioned in paragraph (a).</w:t>
      </w:r>
    </w:p>
    <w:p w14:paraId="40DD8488" w14:textId="77777777" w:rsidR="006F43DE" w:rsidRDefault="006F43DE">
      <w:pPr>
        <w:pStyle w:val="BodyText"/>
        <w:ind w:right="120"/>
        <w:rPr>
          <w:rFonts w:ascii="Calibri" w:eastAsia="Calibri" w:hAnsi="Calibri" w:cs="Calibri"/>
        </w:rPr>
      </w:pPr>
    </w:p>
    <w:p w14:paraId="40DD8489" w14:textId="77777777" w:rsidR="006F43DE" w:rsidRDefault="006F43DE">
      <w:pPr>
        <w:pStyle w:val="BodyText"/>
        <w:ind w:right="120"/>
      </w:pPr>
    </w:p>
    <w:sectPr w:rsidR="006F43DE">
      <w:headerReference w:type="default" r:id="rId7"/>
      <w:footerReference w:type="default" r:id="rId8"/>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848C" w14:textId="77777777" w:rsidR="00E3344C" w:rsidRDefault="00E3344C">
      <w:r>
        <w:separator/>
      </w:r>
    </w:p>
  </w:endnote>
  <w:endnote w:type="continuationSeparator" w:id="0">
    <w:p w14:paraId="40DD848D" w14:textId="77777777" w:rsidR="00E3344C" w:rsidRDefault="00E3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493"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14:paraId="40DD8494"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14:paraId="40DD8495"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14:paraId="40DD8496" w14:textId="77777777" w:rsidR="006F43DE" w:rsidRDefault="00E3344C">
    <w:pPr>
      <w:pStyle w:val="Footer"/>
      <w:tabs>
        <w:tab w:val="clear" w:pos="9029"/>
        <w:tab w:val="right" w:pos="9000"/>
      </w:tabs>
      <w:jc w:val="center"/>
    </w:pPr>
    <w:r>
      <w:rPr>
        <w:rFonts w:ascii="Calibri" w:eastAsia="Calibri" w:hAnsi="Calibri" w:cs="Calibri"/>
        <w:b/>
        <w:bCs/>
      </w:rPr>
      <w:t>George Leybourne House, Wellclose Square, London E1 8HW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848A" w14:textId="77777777" w:rsidR="00E3344C" w:rsidRDefault="00E3344C">
      <w:r>
        <w:separator/>
      </w:r>
    </w:p>
  </w:footnote>
  <w:footnote w:type="continuationSeparator" w:id="0">
    <w:p w14:paraId="40DD848B" w14:textId="77777777" w:rsidR="00E3344C" w:rsidRDefault="00E3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48E" w14:textId="77777777" w:rsidR="006F43DE" w:rsidRDefault="00E3344C">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14:paraId="40DD848F"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George Leybourne House</w:t>
    </w:r>
  </w:p>
  <w:p w14:paraId="40DD8490"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Wellclose Square</w:t>
    </w:r>
  </w:p>
  <w:p w14:paraId="40DD8491"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14:paraId="40DD8492" w14:textId="77777777" w:rsidR="006F43DE" w:rsidRDefault="00E3344C">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402"/>
    <w:multiLevelType w:val="hybridMultilevel"/>
    <w:tmpl w:val="8FC60302"/>
    <w:numStyleLink w:val="ImportedStyle3"/>
  </w:abstractNum>
  <w:abstractNum w:abstractNumId="1" w15:restartNumberingAfterBreak="0">
    <w:nsid w:val="68C81A12"/>
    <w:multiLevelType w:val="hybridMultilevel"/>
    <w:tmpl w:val="8FC60302"/>
    <w:styleLink w:val="ImportedStyle3"/>
    <w:lvl w:ilvl="0" w:tplc="C5221B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ECF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44B178">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561C96">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D05E">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F4A9A8">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347A54">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ABB9C">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E0A94A">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30E63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4C62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3A5744">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D284A4">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B21BE2">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B144212">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E47E16">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60542E">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4C353A">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DE"/>
    <w:rsid w:val="001024E9"/>
    <w:rsid w:val="002163A6"/>
    <w:rsid w:val="002469BF"/>
    <w:rsid w:val="00253D36"/>
    <w:rsid w:val="0031143F"/>
    <w:rsid w:val="00357D72"/>
    <w:rsid w:val="00381CE1"/>
    <w:rsid w:val="005B17AF"/>
    <w:rsid w:val="0069534C"/>
    <w:rsid w:val="006F43DE"/>
    <w:rsid w:val="008E5F42"/>
    <w:rsid w:val="00E3344C"/>
    <w:rsid w:val="00F31547"/>
    <w:rsid w:val="00FA00C3"/>
    <w:rsid w:val="00FB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845C"/>
  <w15:docId w15:val="{D25212DB-48F9-4A1F-AEA2-14E21A4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Mainelli</cp:lastModifiedBy>
  <cp:revision>11</cp:revision>
  <dcterms:created xsi:type="dcterms:W3CDTF">2021-12-30T10:55:00Z</dcterms:created>
  <dcterms:modified xsi:type="dcterms:W3CDTF">2021-12-30T16:01:00Z</dcterms:modified>
</cp:coreProperties>
</file>