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83" w:rsidRDefault="00257083">
      <w:pPr>
        <w:pStyle w:val="BodyText"/>
        <w:ind w:left="840"/>
        <w:jc w:val="right"/>
      </w:pPr>
    </w:p>
    <w:p w:rsidR="00257083" w:rsidRDefault="00257083">
      <w:pPr>
        <w:pStyle w:val="BodyText"/>
        <w:ind w:left="840"/>
        <w:jc w:val="right"/>
      </w:pPr>
    </w:p>
    <w:p w:rsidR="00257083" w:rsidRDefault="0069295F">
      <w:pPr>
        <w:pStyle w:val="BodyText"/>
        <w:ind w:left="84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FD00BE">
        <w:rPr>
          <w:rFonts w:ascii="Calibri" w:eastAsia="Calibri" w:hAnsi="Calibri" w:cs="Calibri"/>
        </w:rPr>
        <w:t>2 November 2016</w:t>
      </w:r>
    </w:p>
    <w:p w:rsidR="00257083" w:rsidRDefault="00257083">
      <w:pPr>
        <w:pStyle w:val="BodyText"/>
        <w:ind w:left="840"/>
        <w:rPr>
          <w:rFonts w:ascii="Calibri" w:eastAsia="Calibri" w:hAnsi="Calibri" w:cs="Calibri"/>
        </w:rPr>
      </w:pPr>
    </w:p>
    <w:p w:rsidR="00257083" w:rsidRDefault="00257083">
      <w:pPr>
        <w:pStyle w:val="BodyText"/>
        <w:ind w:right="120"/>
        <w:rPr>
          <w:rFonts w:ascii="Calibri" w:eastAsia="Calibri" w:hAnsi="Calibri" w:cs="Calibri"/>
          <w:b/>
          <w:bCs/>
        </w:rPr>
      </w:pPr>
    </w:p>
    <w:p w:rsidR="00257083" w:rsidRDefault="0069295F">
      <w:pPr>
        <w:pStyle w:val="BodyText"/>
        <w:ind w:right="120"/>
        <w:rPr>
          <w:rFonts w:ascii="Calibri" w:eastAsia="Calibri" w:hAnsi="Calibri" w:cs="Calibri"/>
          <w:b/>
          <w:bCs/>
        </w:rPr>
      </w:pPr>
      <w:r>
        <w:rPr>
          <w:rFonts w:ascii="Calibri" w:eastAsia="Calibri" w:hAnsi="Calibri" w:cs="Calibri"/>
          <w:b/>
          <w:bCs/>
        </w:rPr>
        <w:t xml:space="preserve">Notice of intention to carry out work </w:t>
      </w: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r>
        <w:rPr>
          <w:rFonts w:ascii="Calibri" w:eastAsia="Calibri" w:hAnsi="Calibri" w:cs="Calibri"/>
        </w:rPr>
        <w:t>To all leaseholders of George Leybourne House and shareholders in Entryway Limited.</w:t>
      </w: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bookmarkStart w:id="0" w:name="_GoBack"/>
      <w:bookmarkEnd w:id="0"/>
      <w:r>
        <w:rPr>
          <w:rFonts w:ascii="Calibri" w:eastAsia="Calibri" w:hAnsi="Calibri" w:cs="Calibri"/>
        </w:rPr>
        <w:t xml:space="preserve">It is the intention of Entryway Limited to enter into an agreement to carry out works in respect of which we are required to consult leaseholders </w:t>
      </w:r>
      <w:r>
        <w:rPr>
          <w:rFonts w:ascii="Calibri" w:eastAsia="Calibri" w:hAnsi="Calibri" w:cs="Calibri"/>
          <w:i/>
          <w:iCs/>
        </w:rPr>
        <w:t>(see Note 1 overleaf)</w:t>
      </w:r>
      <w:r>
        <w:rPr>
          <w:rFonts w:ascii="Calibri" w:eastAsia="Calibri" w:hAnsi="Calibri" w:cs="Calibri"/>
        </w:rPr>
        <w:t xml:space="preserve">.  The works to be carried out under the agreement are as follows:  </w:t>
      </w:r>
    </w:p>
    <w:p w:rsidR="00D02CFC" w:rsidRDefault="00D02CFC">
      <w:pPr>
        <w:pStyle w:val="BodyText"/>
        <w:ind w:right="120"/>
        <w:rPr>
          <w:rFonts w:ascii="Calibri" w:eastAsia="Calibri" w:hAnsi="Calibri" w:cs="Calibri"/>
        </w:rPr>
      </w:pPr>
    </w:p>
    <w:p w:rsidR="00D02CFC" w:rsidRDefault="00D02CFC">
      <w:pPr>
        <w:pStyle w:val="BodyText"/>
        <w:ind w:right="120"/>
        <w:rPr>
          <w:rFonts w:ascii="Calibri" w:eastAsia="Calibri" w:hAnsi="Calibri" w:cs="Calibri"/>
        </w:rPr>
      </w:pPr>
      <w:r>
        <w:rPr>
          <w:rFonts w:ascii="Calibri" w:eastAsia="Calibri" w:hAnsi="Calibri" w:cs="Calibri"/>
        </w:rPr>
        <w:t>We can no longer source light bulbs for our existing call buttons as the industry standard has changed. To comply with new standards we are looking to install</w:t>
      </w:r>
    </w:p>
    <w:p w:rsidR="00257083" w:rsidRDefault="00257083">
      <w:pPr>
        <w:pStyle w:val="BodyText"/>
        <w:ind w:right="120"/>
        <w:rPr>
          <w:rFonts w:ascii="Calibri" w:eastAsia="Calibri" w:hAnsi="Calibri" w:cs="Calibri"/>
        </w:rPr>
      </w:pPr>
    </w:p>
    <w:p w:rsidR="00D02CFC" w:rsidRPr="00D02CFC" w:rsidRDefault="00D02CFC" w:rsidP="00D02CFC">
      <w:pPr>
        <w:pStyle w:val="BodyText"/>
        <w:numPr>
          <w:ilvl w:val="0"/>
          <w:numId w:val="4"/>
        </w:numPr>
        <w:ind w:right="120"/>
        <w:rPr>
          <w:rFonts w:ascii="Calibri" w:eastAsia="Calibri" w:hAnsi="Calibri" w:cs="Calibri"/>
          <w:lang w:val="en-GB"/>
        </w:rPr>
      </w:pPr>
      <w:r w:rsidRPr="00D02CFC">
        <w:rPr>
          <w:rFonts w:ascii="Calibri" w:eastAsia="Calibri" w:hAnsi="Calibri" w:cs="Calibri"/>
          <w:lang w:val="en-GB"/>
        </w:rPr>
        <w:t>All new stainless steel landing push plates and new tactile buttons;</w:t>
      </w:r>
    </w:p>
    <w:p w:rsidR="00D02CFC" w:rsidRDefault="00D02CFC" w:rsidP="00D02CFC">
      <w:pPr>
        <w:pStyle w:val="BodyText"/>
        <w:numPr>
          <w:ilvl w:val="0"/>
          <w:numId w:val="4"/>
        </w:numPr>
        <w:ind w:right="120"/>
        <w:rPr>
          <w:rFonts w:ascii="Calibri" w:eastAsia="Calibri" w:hAnsi="Calibri" w:cs="Calibri"/>
          <w:lang w:val="en-GB"/>
        </w:rPr>
      </w:pPr>
      <w:r w:rsidRPr="00D02CFC">
        <w:rPr>
          <w:rFonts w:ascii="Calibri" w:eastAsia="Calibri" w:hAnsi="Calibri" w:cs="Calibri"/>
          <w:lang w:val="en-GB"/>
        </w:rPr>
        <w:t xml:space="preserve">All new stainless steel indicator plates and new digital indicators on </w:t>
      </w:r>
      <w:r>
        <w:rPr>
          <w:rFonts w:ascii="Calibri" w:eastAsia="Calibri" w:hAnsi="Calibri" w:cs="Calibri"/>
          <w:lang w:val="en-GB"/>
        </w:rPr>
        <w:t>the landing and basement levels;</w:t>
      </w:r>
      <w:r w:rsidR="00520BDC">
        <w:rPr>
          <w:rFonts w:ascii="Calibri" w:eastAsia="Calibri" w:hAnsi="Calibri" w:cs="Calibri"/>
          <w:lang w:val="en-GB"/>
        </w:rPr>
        <w:t xml:space="preserve"> </w:t>
      </w:r>
    </w:p>
    <w:p w:rsidR="00D02CFC" w:rsidRPr="00D02CFC" w:rsidRDefault="00520BDC" w:rsidP="00D02CFC">
      <w:pPr>
        <w:pStyle w:val="BodyText"/>
        <w:numPr>
          <w:ilvl w:val="0"/>
          <w:numId w:val="4"/>
        </w:numPr>
        <w:ind w:right="120"/>
        <w:rPr>
          <w:rFonts w:ascii="Calibri" w:eastAsia="Calibri" w:hAnsi="Calibri" w:cs="Calibri"/>
          <w:lang w:val="en-GB"/>
        </w:rPr>
      </w:pPr>
      <w:r>
        <w:rPr>
          <w:rFonts w:ascii="Calibri" w:eastAsia="Calibri" w:hAnsi="Calibri" w:cs="Calibri"/>
          <w:lang w:val="en-GB"/>
        </w:rPr>
        <w:t xml:space="preserve">To match the above, </w:t>
      </w:r>
      <w:r w:rsidR="00D02CFC">
        <w:rPr>
          <w:rFonts w:ascii="Calibri" w:eastAsia="Calibri" w:hAnsi="Calibri" w:cs="Calibri"/>
          <w:lang w:val="en-GB"/>
        </w:rPr>
        <w:t>Re-finish all land</w:t>
      </w:r>
      <w:r>
        <w:rPr>
          <w:rFonts w:ascii="Calibri" w:eastAsia="Calibri" w:hAnsi="Calibri" w:cs="Calibri"/>
          <w:lang w:val="en-GB"/>
        </w:rPr>
        <w:t>ing door panels and frames (metal part only)</w:t>
      </w:r>
    </w:p>
    <w:p w:rsidR="00D02CFC" w:rsidRPr="00D02CFC" w:rsidRDefault="00D02CFC">
      <w:pPr>
        <w:pStyle w:val="BodyText"/>
        <w:ind w:right="120"/>
        <w:rPr>
          <w:rFonts w:ascii="Calibri" w:eastAsia="Calibri" w:hAnsi="Calibri" w:cs="Calibri"/>
          <w:lang w:val="en-GB"/>
        </w:rPr>
      </w:pPr>
    </w:p>
    <w:p w:rsidR="00257083" w:rsidRDefault="0069295F">
      <w:pPr>
        <w:pStyle w:val="BodyText"/>
        <w:ind w:right="120"/>
        <w:rPr>
          <w:rFonts w:ascii="Calibri" w:eastAsia="Calibri" w:hAnsi="Calibri" w:cs="Calibri"/>
        </w:rPr>
      </w:pPr>
      <w:r>
        <w:rPr>
          <w:rFonts w:ascii="Calibri" w:eastAsia="Calibri" w:hAnsi="Calibri" w:cs="Calibri"/>
        </w:rPr>
        <w:t xml:space="preserve">We invite you to make written observations in relation to the proposed works by sending them to us. Observations must be made within the consultation period of 30 days from the date of this notice. The consultation period will end on </w:t>
      </w:r>
      <w:r>
        <w:rPr>
          <w:rFonts w:ascii="Calibri" w:eastAsia="Calibri" w:hAnsi="Calibri" w:cs="Calibri"/>
          <w:i/>
          <w:iCs/>
        </w:rPr>
        <w:t>(see Note 3 overleaf)</w:t>
      </w:r>
      <w:r>
        <w:rPr>
          <w:rFonts w:ascii="Calibri" w:eastAsia="Calibri" w:hAnsi="Calibri" w:cs="Calibri"/>
        </w:rPr>
        <w:t xml:space="preserve">. </w:t>
      </w: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r>
        <w:rPr>
          <w:rFonts w:ascii="Calibri" w:eastAsia="Calibri" w:hAnsi="Calibri" w:cs="Calibri"/>
        </w:rPr>
        <w:t xml:space="preserve">We also invite you to propose, within 30 days from the date of this notice, the name of a person from whom we should try to obtain an estimate for the carrying out of the proposed works described above </w:t>
      </w:r>
      <w:r>
        <w:rPr>
          <w:rFonts w:ascii="Calibri" w:eastAsia="Calibri" w:hAnsi="Calibri" w:cs="Calibri"/>
          <w:i/>
          <w:iCs/>
        </w:rPr>
        <w:t>(see Note 4 overleaf)</w:t>
      </w:r>
      <w:r>
        <w:rPr>
          <w:rFonts w:ascii="Calibri" w:eastAsia="Calibri" w:hAnsi="Calibri" w:cs="Calibri"/>
        </w:rPr>
        <w:t>.</w:t>
      </w:r>
    </w:p>
    <w:p w:rsidR="00257083" w:rsidRDefault="00257083">
      <w:pPr>
        <w:pStyle w:val="BodyText"/>
        <w:ind w:right="120"/>
        <w:rPr>
          <w:rFonts w:ascii="Calibri" w:eastAsia="Calibri" w:hAnsi="Calibri" w:cs="Calibri"/>
        </w:rPr>
      </w:pP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r>
        <w:rPr>
          <w:rFonts w:ascii="Calibri" w:eastAsia="Calibri" w:hAnsi="Calibri" w:cs="Calibri"/>
        </w:rPr>
        <w:t>Linda Roberts</w:t>
      </w:r>
    </w:p>
    <w:p w:rsidR="00257083" w:rsidRDefault="0069295F">
      <w:pPr>
        <w:pStyle w:val="BodyText"/>
        <w:ind w:right="120"/>
        <w:rPr>
          <w:rFonts w:ascii="Calibri" w:eastAsia="Calibri" w:hAnsi="Calibri" w:cs="Calibri"/>
        </w:rPr>
      </w:pPr>
      <w:r>
        <w:rPr>
          <w:rFonts w:ascii="Calibri" w:eastAsia="Calibri" w:hAnsi="Calibri" w:cs="Calibri"/>
        </w:rPr>
        <w:t>Chairman</w:t>
      </w:r>
    </w:p>
    <w:p w:rsidR="00257083" w:rsidRDefault="0069295F">
      <w:pPr>
        <w:pStyle w:val="BodyText"/>
        <w:ind w:right="120"/>
        <w:rPr>
          <w:rFonts w:ascii="Calibri" w:eastAsia="Calibri" w:hAnsi="Calibri" w:cs="Calibri"/>
        </w:rPr>
      </w:pPr>
      <w:r>
        <w:rPr>
          <w:rFonts w:ascii="Calibri" w:eastAsia="Calibri" w:hAnsi="Calibri" w:cs="Calibri"/>
        </w:rPr>
        <w:br/>
        <w:t>Entryway Limited</w:t>
      </w:r>
    </w:p>
    <w:p w:rsidR="00257083" w:rsidRDefault="0069295F">
      <w:pPr>
        <w:pStyle w:val="BodyText"/>
        <w:ind w:right="120"/>
        <w:rPr>
          <w:rFonts w:ascii="Calibri" w:eastAsia="Calibri" w:hAnsi="Calibri" w:cs="Calibri"/>
        </w:rPr>
      </w:pPr>
      <w:r>
        <w:rPr>
          <w:rFonts w:ascii="Calibri" w:eastAsia="Calibri" w:hAnsi="Calibri" w:cs="Calibri"/>
        </w:rPr>
        <w:t>George Leybourne House</w:t>
      </w:r>
    </w:p>
    <w:p w:rsidR="00257083" w:rsidRDefault="0069295F">
      <w:pPr>
        <w:pStyle w:val="BodyText"/>
        <w:ind w:right="120"/>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rsidR="00257083" w:rsidRDefault="0069295F">
      <w:pPr>
        <w:pStyle w:val="BodyText"/>
        <w:ind w:right="120"/>
        <w:rPr>
          <w:rFonts w:ascii="Calibri" w:eastAsia="Calibri" w:hAnsi="Calibri" w:cs="Calibri"/>
        </w:rPr>
      </w:pPr>
      <w:r>
        <w:rPr>
          <w:rFonts w:ascii="Calibri" w:eastAsia="Calibri" w:hAnsi="Calibri" w:cs="Calibri"/>
        </w:rPr>
        <w:t xml:space="preserve">London E1 8HW </w:t>
      </w:r>
    </w:p>
    <w:p w:rsidR="00257083" w:rsidRDefault="0069295F">
      <w:pPr>
        <w:pStyle w:val="BodyText"/>
        <w:ind w:right="120"/>
      </w:pPr>
      <w:r>
        <w:rPr>
          <w:rFonts w:ascii="Calibri" w:eastAsia="Calibri" w:hAnsi="Calibri" w:cs="Calibri"/>
        </w:rPr>
        <w:br w:type="page"/>
      </w:r>
    </w:p>
    <w:p w:rsidR="00257083" w:rsidRDefault="00257083">
      <w:pPr>
        <w:pStyle w:val="BodyText"/>
        <w:ind w:right="120"/>
        <w:rPr>
          <w:rFonts w:ascii="Calibri" w:eastAsia="Calibri" w:hAnsi="Calibri" w:cs="Calibri"/>
        </w:rPr>
      </w:pPr>
    </w:p>
    <w:p w:rsidR="00257083" w:rsidRDefault="0069295F">
      <w:pPr>
        <w:pStyle w:val="BodyText"/>
        <w:ind w:right="120"/>
        <w:rPr>
          <w:rFonts w:ascii="Calibri" w:eastAsia="Calibri" w:hAnsi="Calibri" w:cs="Calibri"/>
        </w:rPr>
      </w:pPr>
      <w:r>
        <w:rPr>
          <w:rFonts w:ascii="Calibri" w:eastAsia="Calibri" w:hAnsi="Calibri" w:cs="Calibri"/>
          <w:b/>
          <w:bCs/>
        </w:rPr>
        <w:t>Notes</w:t>
      </w:r>
      <w:r>
        <w:rPr>
          <w:rFonts w:ascii="Calibri" w:eastAsia="Calibri" w:hAnsi="Calibri" w:cs="Calibri"/>
        </w:rPr>
        <w:t xml:space="preserve"> </w:t>
      </w:r>
    </w:p>
    <w:p w:rsidR="00257083" w:rsidRDefault="0069295F">
      <w:pPr>
        <w:pStyle w:val="BodyText"/>
        <w:numPr>
          <w:ilvl w:val="0"/>
          <w:numId w:val="2"/>
        </w:numPr>
        <w:ind w:right="120"/>
        <w:rPr>
          <w:rFonts w:ascii="Calibri" w:eastAsia="Calibri" w:hAnsi="Calibri" w:cs="Calibri"/>
        </w:rPr>
      </w:pPr>
      <w:r>
        <w:rPr>
          <w:rFonts w:ascii="Calibri" w:eastAsia="Calibri" w:hAnsi="Calibri" w:cs="Calibri"/>
        </w:rPr>
        <w:t xml:space="preserve">Section 20 of the Landlord and Tenant Act 1985 (as amended) (the 1985 Act') provides that a landlord (as defined by Section 30 of the 1985 Act) must consult leaseholders who are required under the terms of their leases to contribute (by payment of service charges) to costs incurred under qualifying works, where the contribution of any one leaseholder will exceed £250. 'Qualifying works' are defined by Section 20ZA of the 1985 Act. </w:t>
      </w:r>
    </w:p>
    <w:p w:rsidR="00257083" w:rsidRDefault="0069295F">
      <w:pPr>
        <w:pStyle w:val="BodyText"/>
        <w:numPr>
          <w:ilvl w:val="0"/>
          <w:numId w:val="2"/>
        </w:numPr>
        <w:ind w:right="120"/>
        <w:rPr>
          <w:rFonts w:ascii="Calibri" w:eastAsia="Calibri" w:hAnsi="Calibri" w:cs="Calibri"/>
        </w:rPr>
      </w:pPr>
      <w:r>
        <w:rPr>
          <w:rFonts w:ascii="Calibri" w:eastAsia="Calibri" w:hAnsi="Calibri" w:cs="Calibri"/>
        </w:rPr>
        <w:t xml:space="preserve">Where a notice specifies a place and hours for inspection: </w:t>
      </w:r>
    </w:p>
    <w:p w:rsidR="00257083" w:rsidRDefault="0069295F">
      <w:pPr>
        <w:pStyle w:val="BodyText"/>
        <w:numPr>
          <w:ilvl w:val="1"/>
          <w:numId w:val="2"/>
        </w:numPr>
        <w:ind w:right="120"/>
        <w:rPr>
          <w:rFonts w:ascii="Calibri" w:eastAsia="Calibri" w:hAnsi="Calibri" w:cs="Calibri"/>
        </w:rPr>
      </w:pPr>
      <w:r>
        <w:rPr>
          <w:rFonts w:ascii="Calibri" w:eastAsia="Calibri" w:hAnsi="Calibri" w:cs="Calibri"/>
        </w:rPr>
        <w:t xml:space="preserve">the place and hours so specified must be reasonable; and </w:t>
      </w:r>
    </w:p>
    <w:p w:rsidR="00257083" w:rsidRDefault="0069295F">
      <w:pPr>
        <w:pStyle w:val="BodyText"/>
        <w:numPr>
          <w:ilvl w:val="1"/>
          <w:numId w:val="2"/>
        </w:numPr>
        <w:ind w:right="120"/>
        <w:rPr>
          <w:rFonts w:ascii="Calibri" w:eastAsia="Calibri" w:hAnsi="Calibri" w:cs="Calibri"/>
        </w:rPr>
      </w:pPr>
      <w:proofErr w:type="gramStart"/>
      <w:r>
        <w:rPr>
          <w:rFonts w:ascii="Calibri" w:eastAsia="Calibri" w:hAnsi="Calibri" w:cs="Calibri"/>
        </w:rPr>
        <w:t>a</w:t>
      </w:r>
      <w:proofErr w:type="gramEnd"/>
      <w:r>
        <w:rPr>
          <w:rFonts w:ascii="Calibri" w:eastAsia="Calibri" w:hAnsi="Calibri" w:cs="Calibri"/>
        </w:rPr>
        <w:t xml:space="preserve"> description of the proposed works must be available for inspection, free of charge, at that place and during those hours.</w:t>
      </w:r>
    </w:p>
    <w:p w:rsidR="00257083" w:rsidRDefault="0069295F">
      <w:pPr>
        <w:pStyle w:val="BodyText"/>
        <w:ind w:left="360" w:right="120"/>
        <w:rPr>
          <w:rFonts w:ascii="Calibri" w:eastAsia="Calibri" w:hAnsi="Calibri" w:cs="Calibri"/>
        </w:rPr>
      </w:pPr>
      <w:r>
        <w:rPr>
          <w:rFonts w:ascii="Calibri" w:eastAsia="Calibri" w:hAnsi="Calibri" w:cs="Calibri"/>
        </w:rPr>
        <w:t xml:space="preserve">If facilities to enable copies to be taken are not made available at the times at which the description may be inspected, the landlord shall provide to any leaseholder, on request and free of charge, a copy of the description. </w:t>
      </w:r>
    </w:p>
    <w:p w:rsidR="00257083" w:rsidRDefault="0069295F">
      <w:pPr>
        <w:pStyle w:val="BodyText"/>
        <w:numPr>
          <w:ilvl w:val="0"/>
          <w:numId w:val="2"/>
        </w:numPr>
        <w:ind w:right="120"/>
        <w:rPr>
          <w:rFonts w:ascii="Calibri" w:eastAsia="Calibri" w:hAnsi="Calibri" w:cs="Calibri"/>
        </w:rPr>
      </w:pPr>
      <w:r>
        <w:rPr>
          <w:rFonts w:ascii="Calibri" w:eastAsia="Calibri" w:hAnsi="Calibri" w:cs="Calibri"/>
        </w:rPr>
        <w:t xml:space="preserve">The landlord has a duty to have regard to written observations made within the consultation period by any leaseholder or </w:t>
      </w:r>
      <w:proofErr w:type="spellStart"/>
      <w:r>
        <w:rPr>
          <w:rFonts w:ascii="Calibri" w:eastAsia="Calibri" w:hAnsi="Calibri" w:cs="Calibri"/>
        </w:rPr>
        <w:t>recognised</w:t>
      </w:r>
      <w:proofErr w:type="spellEnd"/>
      <w:r>
        <w:rPr>
          <w:rFonts w:ascii="Calibri" w:eastAsia="Calibri" w:hAnsi="Calibri" w:cs="Calibri"/>
        </w:rPr>
        <w:t xml:space="preserve"> tenants' association. '</w:t>
      </w:r>
      <w:proofErr w:type="spellStart"/>
      <w:r>
        <w:rPr>
          <w:rFonts w:ascii="Calibri" w:eastAsia="Calibri" w:hAnsi="Calibri" w:cs="Calibri"/>
        </w:rPr>
        <w:t>Recognised</w:t>
      </w:r>
      <w:proofErr w:type="spellEnd"/>
      <w:r>
        <w:rPr>
          <w:rFonts w:ascii="Calibri" w:eastAsia="Calibri" w:hAnsi="Calibri" w:cs="Calibri"/>
        </w:rPr>
        <w:t xml:space="preserve"> tenants' association' is defined by Section 29 of the 1985 Act. </w:t>
      </w:r>
    </w:p>
    <w:p w:rsidR="00257083" w:rsidRDefault="00257083">
      <w:pPr>
        <w:pStyle w:val="BodyText"/>
        <w:numPr>
          <w:ilvl w:val="0"/>
          <w:numId w:val="2"/>
        </w:numPr>
        <w:ind w:right="120"/>
        <w:rPr>
          <w:rFonts w:ascii="Calibri" w:eastAsia="Calibri" w:hAnsi="Calibri" w:cs="Calibri"/>
        </w:rPr>
      </w:pP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(whether or not a nomination is made by any leaseholder, the landlord shall try to obtain an estimate from the nominated person. </w:t>
      </w: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only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from the nominated person. </w:t>
      </w: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more than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rsidR="00257083" w:rsidRDefault="0069295F">
      <w:pPr>
        <w:pStyle w:val="BodyText"/>
        <w:numPr>
          <w:ilvl w:val="2"/>
          <w:numId w:val="3"/>
        </w:numPr>
        <w:ind w:right="120"/>
        <w:rPr>
          <w:rFonts w:ascii="Calibri" w:eastAsia="Calibri" w:hAnsi="Calibri" w:cs="Calibri"/>
        </w:rPr>
      </w:pPr>
      <w:r>
        <w:rPr>
          <w:rFonts w:ascii="Calibri" w:eastAsia="Calibri" w:hAnsi="Calibri" w:cs="Calibri"/>
        </w:rPr>
        <w:t xml:space="preserve">from the person who received the most nominations; or </w:t>
      </w:r>
    </w:p>
    <w:p w:rsidR="00257083" w:rsidRDefault="0069295F">
      <w:pPr>
        <w:pStyle w:val="BodyText"/>
        <w:numPr>
          <w:ilvl w:val="2"/>
          <w:numId w:val="3"/>
        </w:numPr>
        <w:ind w:right="120"/>
        <w:rPr>
          <w:rFonts w:ascii="Calibri" w:eastAsia="Calibri" w:hAnsi="Calibri" w:cs="Calibri"/>
        </w:rPr>
      </w:pPr>
      <w:r>
        <w:rPr>
          <w:rFonts w:ascii="Calibri" w:eastAsia="Calibri" w:hAnsi="Calibri" w:cs="Calibri"/>
        </w:rPr>
        <w:t xml:space="preserve">if there is no such person, but two (or more) persons received the same number of nominations, being a number in excess of the nominations received by any other person, from one of those two (or more) persons; or </w:t>
      </w:r>
    </w:p>
    <w:p w:rsidR="00257083" w:rsidRDefault="0069295F">
      <w:pPr>
        <w:pStyle w:val="BodyText"/>
        <w:numPr>
          <w:ilvl w:val="2"/>
          <w:numId w:val="3"/>
        </w:numPr>
        <w:ind w:right="120"/>
        <w:rPr>
          <w:rFonts w:ascii="Calibri" w:eastAsia="Calibri" w:hAnsi="Calibri" w:cs="Calibri"/>
        </w:rPr>
      </w:pPr>
      <w:proofErr w:type="gramStart"/>
      <w:r>
        <w:rPr>
          <w:rFonts w:ascii="Calibri" w:eastAsia="Calibri" w:hAnsi="Calibri" w:cs="Calibri"/>
        </w:rPr>
        <w:t>in</w:t>
      </w:r>
      <w:proofErr w:type="gramEnd"/>
      <w:r>
        <w:rPr>
          <w:rFonts w:ascii="Calibri" w:eastAsia="Calibri" w:hAnsi="Calibri" w:cs="Calibri"/>
        </w:rPr>
        <w:t xml:space="preserve"> any other case, from any nominated person.</w:t>
      </w:r>
    </w:p>
    <w:p w:rsidR="00257083" w:rsidRDefault="0069295F">
      <w:pPr>
        <w:pStyle w:val="BodyText"/>
        <w:numPr>
          <w:ilvl w:val="1"/>
          <w:numId w:val="3"/>
        </w:numPr>
        <w:ind w:right="120"/>
        <w:rPr>
          <w:rFonts w:ascii="Calibri" w:eastAsia="Calibri" w:hAnsi="Calibri" w:cs="Calibri"/>
        </w:rPr>
      </w:pPr>
      <w:r>
        <w:rPr>
          <w:rFonts w:ascii="Calibri" w:eastAsia="Calibri" w:hAnsi="Calibri" w:cs="Calibri"/>
        </w:rPr>
        <w:t xml:space="preserve">Where more than one nomination is made by any leaseholder and more than one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rsidR="00257083" w:rsidRDefault="0069295F">
      <w:pPr>
        <w:pStyle w:val="BodyText"/>
        <w:numPr>
          <w:ilvl w:val="2"/>
          <w:numId w:val="3"/>
        </w:numPr>
        <w:ind w:right="120"/>
        <w:rPr>
          <w:rFonts w:ascii="Calibri" w:eastAsia="Calibri" w:hAnsi="Calibri" w:cs="Calibri"/>
        </w:rPr>
      </w:pPr>
      <w:r>
        <w:rPr>
          <w:rFonts w:ascii="Calibri" w:eastAsia="Calibri" w:hAnsi="Calibri" w:cs="Calibri"/>
        </w:rPr>
        <w:t xml:space="preserve">from at least one person nominated by a leaseholder; and </w:t>
      </w:r>
    </w:p>
    <w:p w:rsidR="00257083" w:rsidRDefault="0069295F">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at least one person nominated by the association, other than a person from whom an estimate is sought as mentioned in paragraph (a).</w:t>
      </w:r>
    </w:p>
    <w:p w:rsidR="00257083" w:rsidRDefault="00257083">
      <w:pPr>
        <w:pStyle w:val="BodyText"/>
        <w:ind w:right="120"/>
        <w:rPr>
          <w:rFonts w:ascii="Calibri" w:eastAsia="Calibri" w:hAnsi="Calibri" w:cs="Calibri"/>
        </w:rPr>
      </w:pPr>
    </w:p>
    <w:p w:rsidR="00257083" w:rsidRDefault="00257083">
      <w:pPr>
        <w:pStyle w:val="BodyText"/>
        <w:ind w:right="120"/>
      </w:pPr>
    </w:p>
    <w:sectPr w:rsidR="00257083">
      <w:headerReference w:type="default" r:id="rId8"/>
      <w:footerReference w:type="default" r:id="rId9"/>
      <w:pgSz w:w="11900" w:h="16840"/>
      <w:pgMar w:top="1134" w:right="1440" w:bottom="1021"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5F" w:rsidRDefault="0069295F">
      <w:r>
        <w:separator/>
      </w:r>
    </w:p>
  </w:endnote>
  <w:endnote w:type="continuationSeparator" w:id="0">
    <w:p w:rsidR="0069295F" w:rsidRDefault="0069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83" w:rsidRDefault="0069295F">
    <w:pPr>
      <w:pStyle w:val="Footer"/>
      <w:tabs>
        <w:tab w:val="clear" w:pos="9029"/>
        <w:tab w:val="right" w:pos="9000"/>
      </w:tabs>
      <w:jc w:val="center"/>
      <w:rPr>
        <w:rFonts w:ascii="Calibri" w:eastAsia="Calibri" w:hAnsi="Calibri" w:cs="Calibri"/>
        <w:b/>
        <w:bCs/>
      </w:rPr>
    </w:pPr>
    <w:r>
      <w:rPr>
        <w:rFonts w:ascii="Calibri" w:eastAsia="Calibri" w:hAnsi="Calibri" w:cs="Calibri"/>
        <w:b/>
        <w:bCs/>
      </w:rPr>
      <w:t>Entryway Limited</w:t>
    </w:r>
  </w:p>
  <w:p w:rsidR="00257083" w:rsidRDefault="0069295F">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in England No. 3471938</w:t>
    </w:r>
  </w:p>
  <w:p w:rsidR="00257083" w:rsidRDefault="0069295F">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Office</w:t>
    </w:r>
  </w:p>
  <w:p w:rsidR="00257083" w:rsidRDefault="0069295F">
    <w:pPr>
      <w:pStyle w:val="Footer"/>
      <w:tabs>
        <w:tab w:val="clear" w:pos="9029"/>
        <w:tab w:val="right" w:pos="9000"/>
      </w:tabs>
      <w:jc w:val="center"/>
    </w:pPr>
    <w:r>
      <w:rPr>
        <w:rFonts w:ascii="Calibri" w:eastAsia="Calibri" w:hAnsi="Calibri" w:cs="Calibri"/>
        <w:b/>
        <w:bCs/>
      </w:rPr>
      <w:t xml:space="preserve">George Leybourne House, </w:t>
    </w:r>
    <w:proofErr w:type="spellStart"/>
    <w:r>
      <w:rPr>
        <w:rFonts w:ascii="Calibri" w:eastAsia="Calibri" w:hAnsi="Calibri" w:cs="Calibri"/>
        <w:b/>
        <w:bCs/>
      </w:rPr>
      <w:t>Wellclose</w:t>
    </w:r>
    <w:proofErr w:type="spellEnd"/>
    <w:r>
      <w:rPr>
        <w:rFonts w:ascii="Calibri" w:eastAsia="Calibri" w:hAnsi="Calibri" w:cs="Calibri"/>
        <w:b/>
        <w:bCs/>
      </w:rPr>
      <w:t xml:space="preserve"> Square, London E1 8HW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5F" w:rsidRDefault="0069295F">
      <w:r>
        <w:separator/>
      </w:r>
    </w:p>
  </w:footnote>
  <w:footnote w:type="continuationSeparator" w:id="0">
    <w:p w:rsidR="0069295F" w:rsidRDefault="006929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83" w:rsidRDefault="0069295F">
    <w:pPr>
      <w:pStyle w:val="Header"/>
      <w:tabs>
        <w:tab w:val="clear" w:pos="4514"/>
        <w:tab w:val="clear" w:pos="9029"/>
        <w:tab w:val="center" w:pos="4500"/>
        <w:tab w:val="right" w:pos="9000"/>
      </w:tabs>
      <w:jc w:val="right"/>
      <w:rPr>
        <w:rFonts w:ascii="Calibri" w:eastAsia="Calibri" w:hAnsi="Calibri" w:cs="Calibri"/>
        <w:b/>
        <w:bCs/>
        <w:sz w:val="26"/>
        <w:szCs w:val="26"/>
      </w:rPr>
    </w:pPr>
    <w:r>
      <w:rPr>
        <w:rFonts w:ascii="Calibri" w:eastAsia="Calibri" w:hAnsi="Calibri" w:cs="Calibri"/>
        <w:b/>
        <w:bCs/>
        <w:sz w:val="26"/>
        <w:szCs w:val="26"/>
      </w:rPr>
      <w:t>Entryway Limited</w:t>
    </w:r>
  </w:p>
  <w:p w:rsidR="00257083" w:rsidRDefault="0069295F">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George Leybourne House</w:t>
    </w:r>
  </w:p>
  <w:p w:rsidR="00257083" w:rsidRDefault="0069295F">
    <w:pPr>
      <w:pStyle w:val="Header"/>
      <w:tabs>
        <w:tab w:val="clear" w:pos="4514"/>
        <w:tab w:val="clear" w:pos="9029"/>
        <w:tab w:val="center" w:pos="4500"/>
        <w:tab w:val="right" w:pos="9000"/>
      </w:tabs>
      <w:jc w:val="right"/>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rsidR="00257083" w:rsidRDefault="0069295F">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London E1 8HW</w:t>
    </w:r>
  </w:p>
  <w:p w:rsidR="00257083" w:rsidRDefault="0069295F">
    <w:pPr>
      <w:pStyle w:val="Header"/>
      <w:tabs>
        <w:tab w:val="clear" w:pos="4514"/>
        <w:tab w:val="clear" w:pos="9029"/>
        <w:tab w:val="center" w:pos="4500"/>
        <w:tab w:val="right" w:pos="9000"/>
      </w:tabs>
      <w:jc w:val="right"/>
    </w:pPr>
    <w:r>
      <w:rPr>
        <w:rFonts w:ascii="Calibri" w:eastAsia="Calibri" w:hAnsi="Calibri" w:cs="Calibri"/>
      </w:rPr>
      <w:t>Concierge: 07966 696050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31B0"/>
    <w:multiLevelType w:val="hybridMultilevel"/>
    <w:tmpl w:val="D5C208C2"/>
    <w:styleLink w:val="ImportedStyle3"/>
    <w:lvl w:ilvl="0" w:tplc="3AAC31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F4202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45068">
      <w:start w:val="1"/>
      <w:numFmt w:val="lowerLetter"/>
      <w:lvlText w:val="%3."/>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670D5B0">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F63380">
      <w:start w:val="1"/>
      <w:numFmt w:val="decimal"/>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4A8A7A">
      <w:start w:val="1"/>
      <w:numFmt w:val="decimal"/>
      <w:lvlText w:val="%6."/>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FA2554">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3A50EC">
      <w:start w:val="1"/>
      <w:numFmt w:val="decimal"/>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466728">
      <w:start w:val="1"/>
      <w:numFmt w:val="decimal"/>
      <w:lvlText w:val="%9."/>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4712EBC"/>
    <w:multiLevelType w:val="hybridMultilevel"/>
    <w:tmpl w:val="D5C208C2"/>
    <w:numStyleLink w:val="ImportedStyle3"/>
  </w:abstractNum>
  <w:abstractNum w:abstractNumId="2">
    <w:nsid w:val="76E62A61"/>
    <w:multiLevelType w:val="multilevel"/>
    <w:tmpl w:val="267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lvl w:ilvl="0" w:tplc="608095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B2EF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04BE5A">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B49FBC">
        <w:start w:val="1"/>
        <w:numFmt w:val="decimal"/>
        <w:lvlText w:val="%4."/>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F949E92">
        <w:start w:val="1"/>
        <w:numFmt w:val="lowerLetter"/>
        <w:lvlText w:val="%5."/>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B230C2">
        <w:start w:val="1"/>
        <w:numFmt w:val="lowerRoman"/>
        <w:lvlText w:val="%6."/>
        <w:lvlJc w:val="left"/>
        <w:pPr>
          <w:tabs>
            <w:tab w:val="left" w:pos="1800"/>
          </w:tabs>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BAF79C">
        <w:start w:val="1"/>
        <w:numFmt w:val="decimal"/>
        <w:lvlText w:val="%7."/>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C6A414">
        <w:start w:val="1"/>
        <w:numFmt w:val="lowerLetter"/>
        <w:lvlText w:val="%8."/>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C2B5E8">
        <w:start w:val="1"/>
        <w:numFmt w:val="lowerRoman"/>
        <w:lvlText w:val="%9."/>
        <w:lvlJc w:val="left"/>
        <w:pPr>
          <w:tabs>
            <w:tab w:val="left" w:pos="1800"/>
          </w:tabs>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83"/>
    <w:rsid w:val="00257083"/>
    <w:rsid w:val="00520BDC"/>
    <w:rsid w:val="0069295F"/>
    <w:rsid w:val="008303D2"/>
    <w:rsid w:val="00D02CFC"/>
    <w:rsid w:val="00FD00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lang w:val="en-US"/>
    </w:rPr>
  </w:style>
  <w:style w:type="paragraph" w:styleId="Footer">
    <w:name w:val="footer"/>
    <w:pPr>
      <w:tabs>
        <w:tab w:val="center" w:pos="4514"/>
        <w:tab w:val="right" w:pos="9029"/>
      </w:tabs>
    </w:pPr>
    <w:rPr>
      <w:rFonts w:cs="Arial Unicode MS"/>
      <w:color w:val="000000"/>
      <w:u w:color="000000"/>
      <w:lang w:val="en-US"/>
    </w:rPr>
  </w:style>
  <w:style w:type="paragraph" w:styleId="BodyText">
    <w:name w:val="Body Text"/>
    <w:rPr>
      <w:rFonts w:eastAsia="Times New Roman"/>
      <w:color w:val="000000"/>
      <w:sz w:val="24"/>
      <w:szCs w:val="24"/>
      <w:u w:color="000000"/>
      <w:lang w:val="en-US"/>
    </w:rPr>
  </w:style>
  <w:style w:type="numbering" w:customStyle="1" w:styleId="ImportedStyle3">
    <w:name w:val="Imported Style 3"/>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lang w:val="en-US"/>
    </w:rPr>
  </w:style>
  <w:style w:type="paragraph" w:styleId="Footer">
    <w:name w:val="footer"/>
    <w:pPr>
      <w:tabs>
        <w:tab w:val="center" w:pos="4514"/>
        <w:tab w:val="right" w:pos="9029"/>
      </w:tabs>
    </w:pPr>
    <w:rPr>
      <w:rFonts w:cs="Arial Unicode MS"/>
      <w:color w:val="000000"/>
      <w:u w:color="000000"/>
      <w:lang w:val="en-US"/>
    </w:rPr>
  </w:style>
  <w:style w:type="paragraph" w:styleId="BodyText">
    <w:name w:val="Body Text"/>
    <w:rPr>
      <w:rFonts w:eastAsia="Times New Roman"/>
      <w:color w:val="000000"/>
      <w:sz w:val="24"/>
      <w:szCs w:val="24"/>
      <w:u w:color="000000"/>
      <w:lang w:val="en-US"/>
    </w:rPr>
  </w:style>
  <w:style w:type="numbering" w:customStyle="1" w:styleId="ImportedStyle3">
    <w:name w:val="Imported Style 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409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Xenia Una Mainelli</cp:lastModifiedBy>
  <cp:revision>2</cp:revision>
  <dcterms:created xsi:type="dcterms:W3CDTF">2016-12-09T14:43:00Z</dcterms:created>
  <dcterms:modified xsi:type="dcterms:W3CDTF">2016-12-09T14:43:00Z</dcterms:modified>
</cp:coreProperties>
</file>